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90" w:rsidRDefault="00E87490" w:rsidP="00E87490">
      <w:pPr>
        <w:keepNext/>
        <w:keepLines/>
        <w:spacing w:before="40" w:after="20"/>
        <w:ind w:firstLine="720"/>
        <w:outlineLvl w:val="1"/>
        <w:rPr>
          <w:rFonts w:ascii="Calibri" w:eastAsia="Times New Roman" w:hAnsi="Calibri" w:cs="Calibri"/>
          <w:color w:val="0070C0"/>
          <w:sz w:val="28"/>
          <w:szCs w:val="28"/>
        </w:rPr>
      </w:pPr>
      <w:bookmarkStart w:id="0" w:name="_Toc12958894"/>
    </w:p>
    <w:p w:rsidR="00E87490" w:rsidRDefault="00E87490" w:rsidP="00E87490">
      <w:pPr>
        <w:keepNext/>
        <w:keepLines/>
        <w:spacing w:before="40" w:after="20"/>
        <w:ind w:firstLine="720"/>
        <w:outlineLvl w:val="1"/>
        <w:rPr>
          <w:rFonts w:ascii="Calibri" w:eastAsia="Times New Roman" w:hAnsi="Calibri" w:cs="Calibri"/>
          <w:color w:val="0070C0"/>
          <w:sz w:val="28"/>
          <w:szCs w:val="28"/>
        </w:rPr>
      </w:pPr>
    </w:p>
    <w:p w:rsidR="00E87490" w:rsidRDefault="00E87490" w:rsidP="00E87490">
      <w:pPr>
        <w:keepNext/>
        <w:keepLines/>
        <w:spacing w:before="40" w:after="20"/>
        <w:ind w:firstLine="720"/>
        <w:outlineLvl w:val="1"/>
        <w:rPr>
          <w:rFonts w:ascii="Calibri" w:eastAsia="Times New Roman" w:hAnsi="Calibri" w:cs="Calibri"/>
          <w:color w:val="0070C0"/>
          <w:sz w:val="28"/>
          <w:szCs w:val="28"/>
        </w:rPr>
      </w:pPr>
    </w:p>
    <w:p w:rsidR="00E87490" w:rsidRPr="00E87490" w:rsidRDefault="00E87490" w:rsidP="00E87490">
      <w:pPr>
        <w:keepNext/>
        <w:keepLines/>
        <w:spacing w:before="40" w:after="20"/>
        <w:ind w:firstLine="720"/>
        <w:outlineLvl w:val="1"/>
        <w:rPr>
          <w:rFonts w:ascii="Calibri" w:eastAsia="Times New Roman" w:hAnsi="Calibri" w:cs="Calibri"/>
          <w:color w:val="0070C0"/>
          <w:sz w:val="32"/>
          <w:szCs w:val="32"/>
        </w:rPr>
      </w:pPr>
      <w:r>
        <w:rPr>
          <w:rFonts w:ascii="Calibri" w:eastAsia="Times New Roman" w:hAnsi="Calibri" w:cs="Calibri"/>
          <w:color w:val="0070C0"/>
          <w:sz w:val="32"/>
          <w:szCs w:val="32"/>
        </w:rPr>
        <w:t xml:space="preserve">Wessex Museums </w:t>
      </w:r>
      <w:r w:rsidRPr="00E87490">
        <w:rPr>
          <w:rFonts w:ascii="Calibri" w:eastAsia="Times New Roman" w:hAnsi="Calibri" w:cs="Calibri"/>
          <w:color w:val="0070C0"/>
          <w:sz w:val="32"/>
          <w:szCs w:val="32"/>
        </w:rPr>
        <w:t>Interpretation Plan template</w:t>
      </w:r>
      <w:bookmarkEnd w:id="0"/>
    </w:p>
    <w:p w:rsidR="00E87490" w:rsidRPr="00E87490" w:rsidRDefault="00E87490" w:rsidP="00E87490">
      <w:pPr>
        <w:tabs>
          <w:tab w:val="left" w:pos="0"/>
        </w:tabs>
        <w:ind w:left="720"/>
        <w:rPr>
          <w:rFonts w:ascii="Calibri" w:eastAsia="Calibri" w:hAnsi="Calibri" w:cs="Calibri"/>
          <w:color w:val="000000"/>
          <w:szCs w:val="28"/>
        </w:rPr>
      </w:pPr>
    </w:p>
    <w:p w:rsidR="00E87490" w:rsidRPr="00E87490" w:rsidRDefault="00E87490" w:rsidP="00E87490">
      <w:pPr>
        <w:tabs>
          <w:tab w:val="left" w:pos="0"/>
        </w:tabs>
        <w:ind w:left="720"/>
        <w:rPr>
          <w:rFonts w:ascii="Calibri" w:eastAsia="Calibri" w:hAnsi="Calibri" w:cs="Calibri"/>
          <w:color w:val="000000"/>
          <w:szCs w:val="28"/>
        </w:rPr>
      </w:pPr>
      <w:r w:rsidRPr="00E87490">
        <w:rPr>
          <w:rFonts w:ascii="Calibri" w:eastAsia="Calibri" w:hAnsi="Calibri" w:cs="Calibri"/>
          <w:color w:val="000000"/>
          <w:szCs w:val="28"/>
        </w:rPr>
        <w:t>For each exhibition, a detailed Interpretation Plan should be compiled to describe each component of the display and associated programming in terms of:</w:t>
      </w:r>
    </w:p>
    <w:p w:rsidR="00E87490" w:rsidRPr="00E87490" w:rsidRDefault="00E87490" w:rsidP="00E87490">
      <w:pPr>
        <w:tabs>
          <w:tab w:val="left" w:pos="0"/>
        </w:tabs>
        <w:rPr>
          <w:rFonts w:ascii="Calibri" w:eastAsia="Calibri" w:hAnsi="Calibri" w:cs="Calibri"/>
          <w:color w:val="000000"/>
          <w:sz w:val="16"/>
          <w:szCs w:val="16"/>
        </w:rPr>
      </w:pPr>
    </w:p>
    <w:p w:rsidR="00E87490" w:rsidRPr="00E87490" w:rsidRDefault="00E87490" w:rsidP="00E87490">
      <w:pPr>
        <w:numPr>
          <w:ilvl w:val="0"/>
          <w:numId w:val="1"/>
        </w:numPr>
        <w:tabs>
          <w:tab w:val="left" w:pos="0"/>
        </w:tabs>
        <w:contextualSpacing/>
        <w:rPr>
          <w:rFonts w:ascii="Calibri" w:eastAsia="Calibri" w:hAnsi="Calibri" w:cs="Calibri"/>
          <w:color w:val="000000"/>
          <w:szCs w:val="28"/>
        </w:rPr>
      </w:pPr>
      <w:r w:rsidRPr="00E87490">
        <w:rPr>
          <w:rFonts w:ascii="Calibri" w:eastAsia="Calibri" w:hAnsi="Calibri" w:cs="Calibri"/>
          <w:color w:val="000000"/>
          <w:szCs w:val="28"/>
        </w:rPr>
        <w:t>Exhibition description</w:t>
      </w:r>
    </w:p>
    <w:p w:rsidR="00E87490" w:rsidRPr="00E87490" w:rsidRDefault="00E87490" w:rsidP="00E87490">
      <w:pPr>
        <w:numPr>
          <w:ilvl w:val="0"/>
          <w:numId w:val="1"/>
        </w:numPr>
        <w:tabs>
          <w:tab w:val="left" w:pos="0"/>
        </w:tabs>
        <w:contextualSpacing/>
        <w:rPr>
          <w:rFonts w:ascii="Calibri" w:eastAsia="Calibri" w:hAnsi="Calibri" w:cs="Calibri"/>
          <w:color w:val="000000"/>
          <w:szCs w:val="28"/>
        </w:rPr>
      </w:pPr>
      <w:r w:rsidRPr="00E87490">
        <w:rPr>
          <w:rFonts w:ascii="Calibri" w:eastAsia="Calibri" w:hAnsi="Calibri" w:cs="Calibri"/>
          <w:color w:val="000000"/>
          <w:szCs w:val="28"/>
        </w:rPr>
        <w:t>Themes and key messages</w:t>
      </w:r>
    </w:p>
    <w:p w:rsidR="00E87490" w:rsidRPr="00E87490" w:rsidRDefault="00E87490" w:rsidP="00E87490">
      <w:pPr>
        <w:numPr>
          <w:ilvl w:val="0"/>
          <w:numId w:val="1"/>
        </w:numPr>
        <w:tabs>
          <w:tab w:val="left" w:pos="0"/>
        </w:tabs>
        <w:contextualSpacing/>
        <w:rPr>
          <w:rFonts w:ascii="Calibri" w:eastAsia="Calibri" w:hAnsi="Calibri" w:cs="Calibri"/>
          <w:color w:val="000000"/>
          <w:szCs w:val="28"/>
        </w:rPr>
      </w:pPr>
      <w:r w:rsidRPr="00E87490">
        <w:rPr>
          <w:rFonts w:ascii="Calibri" w:eastAsia="Calibri" w:hAnsi="Calibri" w:cs="Calibri"/>
          <w:color w:val="000000"/>
          <w:szCs w:val="28"/>
        </w:rPr>
        <w:t>Target audiences</w:t>
      </w:r>
    </w:p>
    <w:p w:rsidR="00E87490" w:rsidRPr="00E87490" w:rsidRDefault="00E87490" w:rsidP="00E87490">
      <w:pPr>
        <w:numPr>
          <w:ilvl w:val="0"/>
          <w:numId w:val="1"/>
        </w:numPr>
        <w:tabs>
          <w:tab w:val="left" w:pos="0"/>
        </w:tabs>
        <w:contextualSpacing/>
        <w:rPr>
          <w:rFonts w:ascii="Calibri" w:eastAsia="Calibri" w:hAnsi="Calibri" w:cs="Calibri"/>
          <w:color w:val="000000"/>
          <w:szCs w:val="28"/>
        </w:rPr>
      </w:pPr>
      <w:r w:rsidRPr="00E87490">
        <w:rPr>
          <w:rFonts w:ascii="Calibri" w:eastAsia="Calibri" w:hAnsi="Calibri" w:cs="Calibri"/>
          <w:color w:val="000000"/>
          <w:szCs w:val="28"/>
        </w:rPr>
        <w:t xml:space="preserve">Interpretation tools </w:t>
      </w:r>
    </w:p>
    <w:p w:rsidR="00E87490" w:rsidRPr="00E87490" w:rsidRDefault="00E87490" w:rsidP="00E87490">
      <w:pPr>
        <w:numPr>
          <w:ilvl w:val="0"/>
          <w:numId w:val="1"/>
        </w:numPr>
        <w:tabs>
          <w:tab w:val="left" w:pos="0"/>
        </w:tabs>
        <w:contextualSpacing/>
        <w:rPr>
          <w:rFonts w:ascii="Calibri" w:eastAsia="Calibri" w:hAnsi="Calibri" w:cs="Calibri"/>
          <w:color w:val="000000"/>
          <w:szCs w:val="28"/>
        </w:rPr>
      </w:pPr>
      <w:r w:rsidRPr="00E87490">
        <w:rPr>
          <w:rFonts w:ascii="Calibri" w:eastAsia="Calibri" w:hAnsi="Calibri" w:cs="Calibri"/>
          <w:color w:val="000000"/>
          <w:szCs w:val="28"/>
        </w:rPr>
        <w:t>Learning outcomes</w:t>
      </w:r>
    </w:p>
    <w:p w:rsidR="00E87490" w:rsidRPr="00E87490" w:rsidRDefault="00E87490" w:rsidP="00E87490">
      <w:pPr>
        <w:numPr>
          <w:ilvl w:val="0"/>
          <w:numId w:val="1"/>
        </w:numPr>
        <w:tabs>
          <w:tab w:val="left" w:pos="0"/>
        </w:tabs>
        <w:contextualSpacing/>
        <w:rPr>
          <w:rFonts w:ascii="Calibri" w:eastAsia="Calibri" w:hAnsi="Calibri" w:cs="Calibri"/>
          <w:color w:val="000000"/>
          <w:szCs w:val="28"/>
        </w:rPr>
      </w:pPr>
      <w:r w:rsidRPr="00E87490">
        <w:rPr>
          <w:rFonts w:ascii="Calibri" w:eastAsia="Calibri" w:hAnsi="Calibri" w:cs="Calibri"/>
          <w:color w:val="000000"/>
          <w:szCs w:val="28"/>
        </w:rPr>
        <w:t>Special requirements and opportunities</w:t>
      </w:r>
    </w:p>
    <w:p w:rsidR="00E87490" w:rsidRPr="00E87490" w:rsidRDefault="00E87490" w:rsidP="00E87490">
      <w:pPr>
        <w:tabs>
          <w:tab w:val="left" w:pos="0"/>
        </w:tabs>
        <w:ind w:left="720"/>
        <w:rPr>
          <w:rFonts w:ascii="Calibri" w:eastAsia="Calibri" w:hAnsi="Calibri" w:cs="Calibri"/>
          <w:color w:val="000000"/>
          <w:szCs w:val="28"/>
        </w:rPr>
      </w:pPr>
    </w:p>
    <w:p w:rsidR="00E87490" w:rsidRDefault="00E87490" w:rsidP="00E87490">
      <w:pPr>
        <w:tabs>
          <w:tab w:val="left" w:pos="0"/>
        </w:tabs>
        <w:ind w:left="720"/>
        <w:rPr>
          <w:rFonts w:ascii="Calibri" w:eastAsia="Calibri" w:hAnsi="Calibri" w:cs="Calibri"/>
          <w:color w:val="000000"/>
          <w:szCs w:val="28"/>
        </w:rPr>
      </w:pPr>
      <w:r w:rsidRPr="00E87490">
        <w:rPr>
          <w:rFonts w:ascii="Calibri" w:eastAsia="Calibri" w:hAnsi="Calibri" w:cs="Calibri"/>
          <w:color w:val="000000"/>
          <w:szCs w:val="28"/>
        </w:rPr>
        <w:t xml:space="preserve">The Interpretation Plan acts as a control document to inform research and identify ways to work across various museum disciplines such as learning, marketing and digital media. It should also act as a control document during the exhibition planning </w:t>
      </w:r>
      <w:proofErr w:type="gramStart"/>
      <w:r w:rsidRPr="00E87490">
        <w:rPr>
          <w:rFonts w:ascii="Calibri" w:eastAsia="Calibri" w:hAnsi="Calibri" w:cs="Calibri"/>
          <w:color w:val="000000"/>
          <w:szCs w:val="28"/>
        </w:rPr>
        <w:t>phase,</w:t>
      </w:r>
      <w:proofErr w:type="gramEnd"/>
      <w:r w:rsidRPr="00E87490">
        <w:rPr>
          <w:rFonts w:ascii="Calibri" w:eastAsia="Calibri" w:hAnsi="Calibri" w:cs="Calibri"/>
          <w:color w:val="000000"/>
          <w:szCs w:val="28"/>
        </w:rPr>
        <w:t xml:space="preserve"> and as a benchmarking document during post-project evaluation. Review Interpretation Plans regularly to find out what approaches work best for your audiences. Below is sample that could be used as a template for future projects. </w:t>
      </w:r>
    </w:p>
    <w:p w:rsidR="00E87490" w:rsidRDefault="00E87490" w:rsidP="00E87490">
      <w:pPr>
        <w:tabs>
          <w:tab w:val="left" w:pos="0"/>
        </w:tabs>
        <w:ind w:left="720"/>
        <w:rPr>
          <w:rFonts w:ascii="Calibri" w:eastAsia="Calibri" w:hAnsi="Calibri" w:cs="Calibri"/>
          <w:color w:val="000000"/>
          <w:szCs w:val="28"/>
        </w:rPr>
      </w:pPr>
    </w:p>
    <w:p w:rsidR="00E87490" w:rsidRPr="00E87490" w:rsidRDefault="00E87490" w:rsidP="00E87490">
      <w:pPr>
        <w:rPr>
          <w:rFonts w:ascii="Calibri" w:eastAsia="Calibri" w:hAnsi="Calibri" w:cs="Calibri"/>
          <w:color w:val="000000"/>
          <w:szCs w:val="28"/>
          <w:highlight w:val="yellow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  <w:r w:rsidRPr="00E87490">
        <w:rPr>
          <w:rFonts w:ascii="Calibri" w:eastAsia="Calibri" w:hAnsi="Calibri" w:cs="Calibri"/>
          <w:b/>
          <w:color w:val="000000"/>
          <w:szCs w:val="28"/>
        </w:rPr>
        <w:t>Sample Interpretation Plan</w:t>
      </w:r>
      <w:r>
        <w:rPr>
          <w:rFonts w:ascii="Calibri" w:eastAsia="Calibri" w:hAnsi="Calibri" w:cs="Calibri"/>
          <w:b/>
          <w:color w:val="000000"/>
          <w:szCs w:val="28"/>
        </w:rPr>
        <w:t xml:space="preserve"> (overleaf)</w:t>
      </w:r>
      <w:bookmarkStart w:id="1" w:name="_GoBack"/>
      <w:bookmarkEnd w:id="1"/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p w:rsidR="00E87490" w:rsidRDefault="00E87490" w:rsidP="00E87490">
      <w:pPr>
        <w:rPr>
          <w:rFonts w:ascii="Calibri" w:eastAsia="Calibri" w:hAnsi="Calibri" w:cs="Calibri"/>
          <w:b/>
          <w:color w:val="000000"/>
          <w:szCs w:val="28"/>
        </w:rPr>
      </w:pPr>
    </w:p>
    <w:tbl>
      <w:tblPr>
        <w:tblStyle w:val="TableGrid1"/>
        <w:tblW w:w="11194" w:type="dxa"/>
        <w:tblInd w:w="-998" w:type="dxa"/>
        <w:tblLook w:val="00A0" w:firstRow="1" w:lastRow="0" w:firstColumn="1" w:lastColumn="0" w:noHBand="0" w:noVBand="0"/>
      </w:tblPr>
      <w:tblGrid>
        <w:gridCol w:w="2712"/>
        <w:gridCol w:w="1019"/>
        <w:gridCol w:w="1515"/>
        <w:gridCol w:w="137"/>
        <w:gridCol w:w="214"/>
        <w:gridCol w:w="1775"/>
        <w:gridCol w:w="90"/>
        <w:gridCol w:w="2178"/>
        <w:gridCol w:w="1554"/>
      </w:tblGrid>
      <w:tr w:rsidR="00E87490" w:rsidRPr="00E87490" w:rsidTr="00BF563D">
        <w:trPr>
          <w:trHeight w:val="257"/>
        </w:trPr>
        <w:tc>
          <w:tcPr>
            <w:tcW w:w="11194" w:type="dxa"/>
            <w:gridSpan w:val="9"/>
            <w:tcBorders>
              <w:bottom w:val="single" w:sz="4" w:space="0" w:color="000000" w:themeColor="text1"/>
            </w:tcBorders>
            <w:shd w:val="clear" w:color="auto" w:fill="99CCFF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Title of the exhibition: </w:t>
            </w:r>
            <w:r w:rsidRPr="00E87490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e.g. Stories from Stonehenge</w:t>
            </w:r>
          </w:p>
        </w:tc>
      </w:tr>
      <w:tr w:rsidR="00E87490" w:rsidRPr="00E87490" w:rsidTr="00BF563D">
        <w:trPr>
          <w:trHeight w:val="257"/>
        </w:trPr>
        <w:tc>
          <w:tcPr>
            <w:tcW w:w="11194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>Overarching theme:</w:t>
            </w:r>
          </w:p>
        </w:tc>
      </w:tr>
      <w:tr w:rsidR="00E87490" w:rsidRPr="00E87490" w:rsidTr="00BF563D">
        <w:trPr>
          <w:trHeight w:val="257"/>
        </w:trPr>
        <w:tc>
          <w:tcPr>
            <w:tcW w:w="11194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One sentence to sum up the exhibition as a whole</w:t>
            </w:r>
          </w:p>
        </w:tc>
      </w:tr>
      <w:tr w:rsidR="00E87490" w:rsidRPr="00E87490" w:rsidTr="00BF563D">
        <w:trPr>
          <w:trHeight w:val="257"/>
        </w:trPr>
        <w:tc>
          <w:tcPr>
            <w:tcW w:w="11194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>Key messages:</w:t>
            </w:r>
          </w:p>
        </w:tc>
      </w:tr>
      <w:tr w:rsidR="00E87490" w:rsidRPr="00E87490" w:rsidTr="00BF563D">
        <w:trPr>
          <w:trHeight w:val="257"/>
        </w:trPr>
        <w:tc>
          <w:tcPr>
            <w:tcW w:w="11194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4 or 5</w:t>
            </w: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E8749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key messages taken from your exhibition proposal and developed with the project team. </w:t>
            </w:r>
          </w:p>
          <w:p w:rsidR="00E87490" w:rsidRPr="00E87490" w:rsidRDefault="00E87490" w:rsidP="00E87490">
            <w:pPr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Refer back to WMP key messages and guiding principles to ensure the exhibition messages link in with the WMP key messages. </w:t>
            </w:r>
          </w:p>
        </w:tc>
      </w:tr>
      <w:tr w:rsidR="00E87490" w:rsidRPr="00E87490" w:rsidTr="00BF563D">
        <w:trPr>
          <w:trHeight w:val="257"/>
        </w:trPr>
        <w:tc>
          <w:tcPr>
            <w:tcW w:w="11194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>Target audiences:</w:t>
            </w:r>
          </w:p>
        </w:tc>
      </w:tr>
      <w:tr w:rsidR="00E87490" w:rsidRPr="00E87490" w:rsidTr="00BF563D">
        <w:trPr>
          <w:trHeight w:val="257"/>
        </w:trPr>
        <w:tc>
          <w:tcPr>
            <w:tcW w:w="559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Existing:</w:t>
            </w:r>
          </w:p>
          <w:p w:rsidR="00E87490" w:rsidRPr="00E87490" w:rsidRDefault="00E87490" w:rsidP="00E87490">
            <w:pPr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New:</w:t>
            </w:r>
          </w:p>
        </w:tc>
      </w:tr>
      <w:tr w:rsidR="00E87490" w:rsidRPr="00E87490" w:rsidTr="00BF563D">
        <w:trPr>
          <w:trHeight w:val="257"/>
        </w:trPr>
        <w:tc>
          <w:tcPr>
            <w:tcW w:w="11194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>Learning outcomes</w:t>
            </w:r>
          </w:p>
        </w:tc>
      </w:tr>
      <w:tr w:rsidR="00E87490" w:rsidRPr="00E87490" w:rsidTr="00BF563D">
        <w:trPr>
          <w:trHeight w:val="257"/>
        </w:trPr>
        <w:tc>
          <w:tcPr>
            <w:tcW w:w="373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Intellectual outcomes:</w:t>
            </w:r>
          </w:p>
          <w:p w:rsidR="00E87490" w:rsidRPr="00E87490" w:rsidRDefault="00E87490" w:rsidP="00E87490">
            <w:pPr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Emotional outcomes:</w:t>
            </w:r>
          </w:p>
        </w:tc>
        <w:tc>
          <w:tcPr>
            <w:tcW w:w="373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Behavioural outcomes:</w:t>
            </w:r>
          </w:p>
        </w:tc>
      </w:tr>
      <w:tr w:rsidR="00E87490" w:rsidRPr="00E87490" w:rsidTr="00BF563D">
        <w:trPr>
          <w:trHeight w:val="257"/>
        </w:trPr>
        <w:tc>
          <w:tcPr>
            <w:tcW w:w="11194" w:type="dxa"/>
            <w:gridSpan w:val="9"/>
            <w:tcBorders>
              <w:bottom w:val="single" w:sz="4" w:space="0" w:color="000000" w:themeColor="text1"/>
            </w:tcBorders>
            <w:shd w:val="clear" w:color="auto" w:fill="99CCFF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>Section 1 (Area of the Exhibition:</w:t>
            </w:r>
            <w:r w:rsidRPr="00E87490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 xml:space="preserve"> e.g. Introductory gallery</w:t>
            </w: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</w:tr>
      <w:tr w:rsidR="00E87490" w:rsidRPr="00E87490" w:rsidTr="00BF563D">
        <w:trPr>
          <w:trHeight w:val="257"/>
        </w:trPr>
        <w:tc>
          <w:tcPr>
            <w:tcW w:w="5246" w:type="dxa"/>
            <w:gridSpan w:val="3"/>
            <w:tcBorders>
              <w:right w:val="nil"/>
            </w:tcBorders>
            <w:shd w:val="clear" w:color="auto" w:fill="B3B3B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>Key messages:</w:t>
            </w:r>
          </w:p>
        </w:tc>
        <w:tc>
          <w:tcPr>
            <w:tcW w:w="5948" w:type="dxa"/>
            <w:gridSpan w:val="6"/>
            <w:shd w:val="clear" w:color="auto" w:fill="B3B3B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>Functions of this area</w:t>
            </w:r>
          </w:p>
        </w:tc>
      </w:tr>
      <w:tr w:rsidR="00E87490" w:rsidRPr="00E87490" w:rsidTr="00BF563D">
        <w:trPr>
          <w:trHeight w:val="780"/>
        </w:trPr>
        <w:tc>
          <w:tcPr>
            <w:tcW w:w="5246" w:type="dxa"/>
            <w:gridSpan w:val="3"/>
            <w:tcBorders>
              <w:bottom w:val="single" w:sz="4" w:space="0" w:color="000000" w:themeColor="text1"/>
            </w:tcBorders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2 or 3 key messages taken for this section of the exhibition </w:t>
            </w:r>
          </w:p>
        </w:tc>
        <w:tc>
          <w:tcPr>
            <w:tcW w:w="5948" w:type="dxa"/>
            <w:gridSpan w:val="6"/>
            <w:tcBorders>
              <w:bottom w:val="single" w:sz="4" w:space="0" w:color="000000" w:themeColor="text1"/>
            </w:tcBorders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e.g. Scene setting, a</w:t>
            </w:r>
            <w:r w:rsidRPr="00E8749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n area for visitors to gather themselves and get their bearings, </w:t>
            </w:r>
            <w:r w:rsidRPr="00E87490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 xml:space="preserve">exhibition guide pick-up point </w:t>
            </w:r>
            <w:proofErr w:type="spellStart"/>
            <w:r w:rsidRPr="00E87490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etc</w:t>
            </w:r>
            <w:proofErr w:type="spellEnd"/>
          </w:p>
          <w:p w:rsidR="00E87490" w:rsidRPr="00E87490" w:rsidRDefault="00E87490" w:rsidP="00E8749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87490" w:rsidRPr="00E87490" w:rsidRDefault="00E87490" w:rsidP="00E8749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Estimated dwell well time: </w:t>
            </w:r>
            <w:r w:rsidRPr="00E87490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e.g. 5 mins</w:t>
            </w:r>
          </w:p>
        </w:tc>
      </w:tr>
      <w:tr w:rsidR="00E87490" w:rsidRPr="00E87490" w:rsidTr="00BF563D">
        <w:trPr>
          <w:trHeight w:val="257"/>
        </w:trPr>
        <w:tc>
          <w:tcPr>
            <w:tcW w:w="11194" w:type="dxa"/>
            <w:gridSpan w:val="9"/>
            <w:tcBorders>
              <w:bottom w:val="single" w:sz="4" w:space="0" w:color="000000" w:themeColor="text1"/>
            </w:tcBorders>
            <w:shd w:val="clear" w:color="auto" w:fill="B3B3B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>Look and feel of this area</w:t>
            </w:r>
          </w:p>
        </w:tc>
      </w:tr>
      <w:tr w:rsidR="00E87490" w:rsidRPr="00E87490" w:rsidTr="00BF563D">
        <w:trPr>
          <w:trHeight w:val="1349"/>
        </w:trPr>
        <w:tc>
          <w:tcPr>
            <w:tcW w:w="11194" w:type="dxa"/>
            <w:gridSpan w:val="9"/>
            <w:tcBorders>
              <w:bottom w:val="single" w:sz="4" w:space="0" w:color="000000" w:themeColor="text1"/>
            </w:tcBorders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e.g. Well-lit gallery space</w:t>
            </w:r>
          </w:p>
          <w:p w:rsidR="00E87490" w:rsidRPr="00E87490" w:rsidRDefault="00E87490" w:rsidP="00E87490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Feels like the start of a journey of discovery</w:t>
            </w:r>
          </w:p>
          <w:p w:rsidR="00E87490" w:rsidRPr="00E87490" w:rsidRDefault="00E87490" w:rsidP="00E87490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Minimal but well-chosen objects and interpretation  </w:t>
            </w:r>
          </w:p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Free-flow – people can visit the items in the room in any order and are free to pick and choose what they want to find out about and leave when they wish</w:t>
            </w:r>
          </w:p>
        </w:tc>
      </w:tr>
      <w:tr w:rsidR="00E87490" w:rsidRPr="00E87490" w:rsidTr="00BF563D">
        <w:trPr>
          <w:trHeight w:val="314"/>
        </w:trPr>
        <w:tc>
          <w:tcPr>
            <w:tcW w:w="2712" w:type="dxa"/>
            <w:shd w:val="clear" w:color="auto" w:fill="B3B3B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>Content/ story</w:t>
            </w:r>
          </w:p>
        </w:tc>
        <w:tc>
          <w:tcPr>
            <w:tcW w:w="2671" w:type="dxa"/>
            <w:gridSpan w:val="3"/>
            <w:shd w:val="clear" w:color="auto" w:fill="B3B3B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>Interpretation tools</w:t>
            </w:r>
          </w:p>
        </w:tc>
        <w:tc>
          <w:tcPr>
            <w:tcW w:w="1989" w:type="dxa"/>
            <w:gridSpan w:val="2"/>
            <w:shd w:val="clear" w:color="auto" w:fill="B3B3B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>Materials/ resources</w:t>
            </w:r>
          </w:p>
        </w:tc>
        <w:tc>
          <w:tcPr>
            <w:tcW w:w="2268" w:type="dxa"/>
            <w:gridSpan w:val="2"/>
            <w:shd w:val="clear" w:color="auto" w:fill="B3B3B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>Contextual material</w:t>
            </w:r>
          </w:p>
        </w:tc>
        <w:tc>
          <w:tcPr>
            <w:tcW w:w="1554" w:type="dxa"/>
            <w:shd w:val="clear" w:color="auto" w:fill="B3B3B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b/>
                <w:sz w:val="20"/>
                <w:szCs w:val="20"/>
              </w:rPr>
              <w:t>Target audience</w:t>
            </w:r>
          </w:p>
        </w:tc>
      </w:tr>
      <w:tr w:rsidR="00E87490" w:rsidRPr="00E87490" w:rsidTr="00BF563D">
        <w:trPr>
          <w:trHeight w:val="799"/>
        </w:trPr>
        <w:tc>
          <w:tcPr>
            <w:tcW w:w="2712" w:type="dxa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 xml:space="preserve">Introduction to the exhibition </w:t>
            </w:r>
          </w:p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71" w:type="dxa"/>
            <w:gridSpan w:val="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 xml:space="preserve">e.g. Text panel </w:t>
            </w:r>
          </w:p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(150 words) near entrance to the exhibition</w:t>
            </w:r>
          </w:p>
        </w:tc>
        <w:tc>
          <w:tcPr>
            <w:tcW w:w="1989" w:type="dxa"/>
            <w:gridSpan w:val="2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e.g. Historic image of Stonehenge</w:t>
            </w:r>
          </w:p>
        </w:tc>
        <w:tc>
          <w:tcPr>
            <w:tcW w:w="1554" w:type="dxa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e.g. All</w:t>
            </w:r>
          </w:p>
        </w:tc>
      </w:tr>
      <w:tr w:rsidR="00E87490" w:rsidRPr="00E87490" w:rsidTr="00BF563D">
        <w:trPr>
          <w:trHeight w:val="799"/>
        </w:trPr>
        <w:tc>
          <w:tcPr>
            <w:tcW w:w="2712" w:type="dxa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Map of Wessex locating Stonehenge and other important sites</w:t>
            </w:r>
          </w:p>
        </w:tc>
        <w:tc>
          <w:tcPr>
            <w:tcW w:w="2671" w:type="dxa"/>
            <w:gridSpan w:val="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Large-scale wall graphic</w:t>
            </w:r>
          </w:p>
        </w:tc>
        <w:tc>
          <w:tcPr>
            <w:tcW w:w="1989" w:type="dxa"/>
            <w:gridSpan w:val="2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Wall vinyl</w:t>
            </w:r>
          </w:p>
        </w:tc>
        <w:tc>
          <w:tcPr>
            <w:tcW w:w="2268" w:type="dxa"/>
            <w:gridSpan w:val="2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</w:tr>
      <w:tr w:rsidR="00E87490" w:rsidRPr="00E87490" w:rsidTr="00BF563D">
        <w:trPr>
          <w:trHeight w:val="799"/>
        </w:trPr>
        <w:tc>
          <w:tcPr>
            <w:tcW w:w="2712" w:type="dxa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Introduction to the key functions of Stonehenge, which were…</w:t>
            </w:r>
          </w:p>
        </w:tc>
        <w:tc>
          <w:tcPr>
            <w:tcW w:w="2671" w:type="dxa"/>
            <w:gridSpan w:val="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Case of ‘gateway’ objects</w:t>
            </w:r>
          </w:p>
        </w:tc>
        <w:tc>
          <w:tcPr>
            <w:tcW w:w="1989" w:type="dxa"/>
            <w:gridSpan w:val="2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Conditioned showcase, object labels</w:t>
            </w:r>
          </w:p>
        </w:tc>
        <w:tc>
          <w:tcPr>
            <w:tcW w:w="2268" w:type="dxa"/>
            <w:gridSpan w:val="2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Reconstruction drawings to give context to the objects</w:t>
            </w:r>
          </w:p>
        </w:tc>
        <w:tc>
          <w:tcPr>
            <w:tcW w:w="1554" w:type="dxa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</w:tr>
      <w:tr w:rsidR="00E87490" w:rsidRPr="00E87490" w:rsidTr="00BF563D">
        <w:trPr>
          <w:trHeight w:val="799"/>
        </w:trPr>
        <w:tc>
          <w:tcPr>
            <w:tcW w:w="2712" w:type="dxa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Interview with an archaeologist at Stonehenge</w:t>
            </w:r>
          </w:p>
        </w:tc>
        <w:tc>
          <w:tcPr>
            <w:tcW w:w="2671" w:type="dxa"/>
            <w:gridSpan w:val="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 xml:space="preserve">Multimedia guide commentary </w:t>
            </w:r>
          </w:p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(2 mins max)</w:t>
            </w:r>
          </w:p>
        </w:tc>
        <w:tc>
          <w:tcPr>
            <w:tcW w:w="1989" w:type="dxa"/>
            <w:gridSpan w:val="2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See multimedia guide proposal</w:t>
            </w:r>
          </w:p>
        </w:tc>
        <w:tc>
          <w:tcPr>
            <w:tcW w:w="2268" w:type="dxa"/>
            <w:gridSpan w:val="2"/>
          </w:tcPr>
          <w:p w:rsidR="00E87490" w:rsidRPr="00E87490" w:rsidRDefault="00E87490" w:rsidP="00E8749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Headshot of the interviewee</w:t>
            </w:r>
          </w:p>
          <w:p w:rsidR="00E87490" w:rsidRPr="00E87490" w:rsidRDefault="00E87490" w:rsidP="00E8749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Footage of Stonehenge today</w:t>
            </w:r>
          </w:p>
        </w:tc>
        <w:tc>
          <w:tcPr>
            <w:tcW w:w="1554" w:type="dxa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Specialist interest learners</w:t>
            </w:r>
          </w:p>
        </w:tc>
      </w:tr>
      <w:tr w:rsidR="00E87490" w:rsidRPr="00E87490" w:rsidTr="00BF563D">
        <w:trPr>
          <w:trHeight w:val="799"/>
        </w:trPr>
        <w:tc>
          <w:tcPr>
            <w:tcW w:w="2712" w:type="dxa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Perspectives of Stonehenge from different eras</w:t>
            </w:r>
          </w:p>
        </w:tc>
        <w:tc>
          <w:tcPr>
            <w:tcW w:w="2671" w:type="dxa"/>
            <w:gridSpan w:val="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 xml:space="preserve">Historic quotations at high level </w:t>
            </w:r>
          </w:p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(20–30 words each)</w:t>
            </w:r>
          </w:p>
        </w:tc>
        <w:tc>
          <w:tcPr>
            <w:tcW w:w="1989" w:type="dxa"/>
            <w:gridSpan w:val="2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 xml:space="preserve">Wall </w:t>
            </w:r>
            <w:proofErr w:type="spellStart"/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vinyls</w:t>
            </w:r>
            <w:proofErr w:type="spellEnd"/>
          </w:p>
        </w:tc>
        <w:tc>
          <w:tcPr>
            <w:tcW w:w="2268" w:type="dxa"/>
            <w:gridSpan w:val="2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Independent adults</w:t>
            </w:r>
          </w:p>
        </w:tc>
      </w:tr>
      <w:tr w:rsidR="00E87490" w:rsidRPr="00E87490" w:rsidTr="00BF563D">
        <w:trPr>
          <w:trHeight w:val="799"/>
        </w:trPr>
        <w:tc>
          <w:tcPr>
            <w:tcW w:w="2712" w:type="dxa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Timeline of key events</w:t>
            </w:r>
          </w:p>
        </w:tc>
        <w:tc>
          <w:tcPr>
            <w:tcW w:w="2671" w:type="dxa"/>
            <w:gridSpan w:val="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 xml:space="preserve">Image-rich animated digital media presentation </w:t>
            </w:r>
          </w:p>
        </w:tc>
        <w:tc>
          <w:tcPr>
            <w:tcW w:w="1989" w:type="dxa"/>
            <w:gridSpan w:val="2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Large front projection onto gallery wall</w:t>
            </w:r>
          </w:p>
        </w:tc>
        <w:tc>
          <w:tcPr>
            <w:tcW w:w="2268" w:type="dxa"/>
            <w:gridSpan w:val="2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Historic images – one per event on the timeline</w:t>
            </w:r>
          </w:p>
        </w:tc>
        <w:tc>
          <w:tcPr>
            <w:tcW w:w="1554" w:type="dxa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</w:tr>
      <w:tr w:rsidR="00E87490" w:rsidRPr="00E87490" w:rsidTr="00BF563D">
        <w:trPr>
          <w:trHeight w:val="799"/>
        </w:trPr>
        <w:tc>
          <w:tcPr>
            <w:tcW w:w="2712" w:type="dxa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The people of Stonehenge (from the distant past to today)</w:t>
            </w:r>
          </w:p>
        </w:tc>
        <w:tc>
          <w:tcPr>
            <w:tcW w:w="2671" w:type="dxa"/>
            <w:gridSpan w:val="3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 xml:space="preserve">Handling object desk facilitated by a volunteer. (flint axe, vessels, modern druid divination stick </w:t>
            </w:r>
            <w:proofErr w:type="spellStart"/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etc</w:t>
            </w:r>
            <w:proofErr w:type="spellEnd"/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989" w:type="dxa"/>
            <w:gridSpan w:val="2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 xml:space="preserve">6 x accessioned museum objects and replicas  </w:t>
            </w:r>
          </w:p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Volunteer training</w:t>
            </w:r>
          </w:p>
        </w:tc>
        <w:tc>
          <w:tcPr>
            <w:tcW w:w="2268" w:type="dxa"/>
            <w:gridSpan w:val="2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Suite of hardcopy images for use by the volunteer to help illustrate a point</w:t>
            </w:r>
          </w:p>
        </w:tc>
        <w:tc>
          <w:tcPr>
            <w:tcW w:w="1554" w:type="dxa"/>
          </w:tcPr>
          <w:p w:rsidR="00E87490" w:rsidRPr="00E87490" w:rsidRDefault="00E87490" w:rsidP="00E874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7490">
              <w:rPr>
                <w:rFonts w:ascii="Calibri" w:eastAsia="Calibri" w:hAnsi="Calibri" w:cs="Times New Roman"/>
                <w:sz w:val="20"/>
                <w:szCs w:val="20"/>
              </w:rPr>
              <w:t>Families and young people</w:t>
            </w:r>
          </w:p>
        </w:tc>
      </w:tr>
    </w:tbl>
    <w:p w:rsidR="00E87490" w:rsidRPr="00E87490" w:rsidRDefault="00E87490" w:rsidP="00E87490">
      <w:pPr>
        <w:rPr>
          <w:rFonts w:ascii="Calibri" w:eastAsia="Calibri" w:hAnsi="Calibri" w:cs="Calibri"/>
          <w:color w:val="000000"/>
          <w:szCs w:val="28"/>
          <w:highlight w:val="yellow"/>
        </w:rPr>
      </w:pPr>
    </w:p>
    <w:sectPr w:rsidR="00E87490" w:rsidRPr="00E87490" w:rsidSect="00E87490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90" w:rsidRDefault="00E87490" w:rsidP="00C912E1">
      <w:r>
        <w:separator/>
      </w:r>
    </w:p>
  </w:endnote>
  <w:endnote w:type="continuationSeparator" w:id="0">
    <w:p w:rsidR="00E87490" w:rsidRDefault="00E87490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90" w:rsidRDefault="00E87490" w:rsidP="00C912E1">
      <w:r>
        <w:separator/>
      </w:r>
    </w:p>
  </w:footnote>
  <w:footnote w:type="continuationSeparator" w:id="0">
    <w:p w:rsidR="00E87490" w:rsidRDefault="00E87490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E874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0D46634" wp14:editId="6F6185B2">
          <wp:simplePos x="0" y="0"/>
          <wp:positionH relativeFrom="column">
            <wp:posOffset>3958590</wp:posOffset>
          </wp:positionH>
          <wp:positionV relativeFrom="paragraph">
            <wp:posOffset>74295</wp:posOffset>
          </wp:positionV>
          <wp:extent cx="1749425" cy="552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 Logo grant_jpeg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39B9A59" wp14:editId="537D167C">
          <wp:extent cx="1932276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sex Museums RGB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420" cy="67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171"/>
    <w:multiLevelType w:val="hybridMultilevel"/>
    <w:tmpl w:val="17AA2F7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9FB7E8E"/>
    <w:multiLevelType w:val="hybridMultilevel"/>
    <w:tmpl w:val="B56A2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0"/>
    <w:rsid w:val="002545FB"/>
    <w:rsid w:val="00371CD4"/>
    <w:rsid w:val="00431C38"/>
    <w:rsid w:val="00472E55"/>
    <w:rsid w:val="00692869"/>
    <w:rsid w:val="006F0FB7"/>
    <w:rsid w:val="00761FEB"/>
    <w:rsid w:val="00942969"/>
    <w:rsid w:val="009F246D"/>
    <w:rsid w:val="00B22BC5"/>
    <w:rsid w:val="00C912E1"/>
    <w:rsid w:val="00D31BF6"/>
    <w:rsid w:val="00D55FCA"/>
    <w:rsid w:val="00D92867"/>
    <w:rsid w:val="00E87490"/>
    <w:rsid w:val="00F26165"/>
    <w:rsid w:val="00F9558D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3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E1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E874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3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E1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E874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2020-03-30T09:24:00Z</dcterms:created>
  <dcterms:modified xsi:type="dcterms:W3CDTF">2020-03-30T09:30:00Z</dcterms:modified>
</cp:coreProperties>
</file>